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C1F" w:rsidRDefault="00273BB1" w:rsidP="00B077A7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AFAFFF"/>
        <w:spacing w:afterLines="60" w:after="144"/>
        <w:jc w:val="center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t>Sakramente</w:t>
      </w:r>
    </w:p>
    <w:p w:rsidR="00250E4B" w:rsidRDefault="00250E4B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</w:p>
    <w:p w:rsidR="004D0C1F" w:rsidRDefault="004D0C1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1. </w:t>
      </w:r>
      <w:r w:rsidR="003636B3" w:rsidRPr="003636B3">
        <w:rPr>
          <w:rFonts w:ascii="Tahoma" w:hAnsi="Tahoma" w:cs="Tahoma"/>
          <w:b/>
          <w:color w:val="000080"/>
          <w:sz w:val="20"/>
          <w:szCs w:val="20"/>
        </w:rPr>
        <w:t>Allgemeine Einführung</w:t>
      </w:r>
    </w:p>
    <w:p w:rsidR="003636B3" w:rsidRDefault="00135299" w:rsidP="003636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Sakrament</w:t>
      </w:r>
      <w:r>
        <w:rPr>
          <w:rFonts w:ascii="Tahoma" w:hAnsi="Tahoma" w:cs="Tahoma"/>
          <w:sz w:val="20"/>
          <w:szCs w:val="20"/>
        </w:rPr>
        <w:t xml:space="preserve"> bedeutet, </w:t>
      </w:r>
      <w:proofErr w:type="spellStart"/>
      <w:r>
        <w:rPr>
          <w:rFonts w:ascii="Tahoma" w:hAnsi="Tahoma" w:cs="Tahoma"/>
          <w:sz w:val="20"/>
          <w:szCs w:val="20"/>
        </w:rPr>
        <w:t>dass</w:t>
      </w:r>
      <w:proofErr w:type="spellEnd"/>
      <w:r>
        <w:rPr>
          <w:rFonts w:ascii="Tahoma" w:hAnsi="Tahoma" w:cs="Tahoma"/>
          <w:sz w:val="20"/>
          <w:szCs w:val="20"/>
        </w:rPr>
        <w:t xml:space="preserve"> Gott in den Ze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chen der Kirche</w:t>
      </w:r>
      <w:r>
        <w:rPr>
          <w:rFonts w:ascii="Tahoma" w:hAnsi="Tahoma" w:cs="Tahoma"/>
          <w:sz w:val="20"/>
          <w:szCs w:val="20"/>
        </w:rPr>
        <w:t xml:space="preserve"> wirkt</w:t>
      </w:r>
      <w:r>
        <w:rPr>
          <w:rFonts w:ascii="Tahoma" w:hAnsi="Tahoma" w:cs="Tahoma"/>
          <w:sz w:val="20"/>
          <w:szCs w:val="20"/>
        </w:rPr>
        <w:t>: sichtbares Handeln der Kirche und unsichtbares Handeln Gottes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griech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Mysterion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3636B3" w:rsidRDefault="003636B3" w:rsidP="003636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4D0C1F" w:rsidRDefault="004D0C1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2. </w:t>
      </w:r>
      <w:r w:rsidR="00135299">
        <w:rPr>
          <w:rFonts w:ascii="Tahoma" w:hAnsi="Tahoma" w:cs="Tahoma"/>
          <w:b/>
          <w:color w:val="000080"/>
          <w:sz w:val="20"/>
          <w:szCs w:val="20"/>
        </w:rPr>
        <w:t>Einteilung</w:t>
      </w:r>
    </w:p>
    <w:p w:rsidR="00273BB1" w:rsidRDefault="00273BB1" w:rsidP="00526B45">
      <w:pPr>
        <w:jc w:val="both"/>
        <w:rPr>
          <w:rFonts w:ascii="Tahoma" w:hAnsi="Tahoma" w:cs="Tahoma"/>
          <w:sz w:val="20"/>
          <w:szCs w:val="20"/>
        </w:rPr>
      </w:pP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Taufe</w:t>
      </w: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Eucharistie („Danksagung“)</w:t>
      </w: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Firmung</w:t>
      </w:r>
      <w:r w:rsidR="00135299">
        <w:rPr>
          <w:rFonts w:ascii="Tahoma" w:hAnsi="Tahoma" w:cs="Tahoma"/>
          <w:sz w:val="20"/>
          <w:szCs w:val="20"/>
        </w:rPr>
        <w:t xml:space="preserve"> („Stärkung“)</w:t>
      </w: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Ehe</w:t>
      </w: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Weihe</w:t>
      </w:r>
    </w:p>
    <w:p w:rsidR="00273BB1" w:rsidRP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 xml:space="preserve">Krankensalbung </w:t>
      </w:r>
    </w:p>
    <w:p w:rsidR="00273BB1" w:rsidRDefault="00273BB1" w:rsidP="00273BB1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>Beichte</w:t>
      </w:r>
    </w:p>
    <w:p w:rsidR="00135299" w:rsidRPr="00135299" w:rsidRDefault="00135299" w:rsidP="00135299">
      <w:pPr>
        <w:jc w:val="both"/>
        <w:rPr>
          <w:rFonts w:ascii="Tahoma" w:hAnsi="Tahoma" w:cs="Tahoma"/>
          <w:sz w:val="20"/>
          <w:szCs w:val="20"/>
        </w:rPr>
      </w:pPr>
    </w:p>
    <w:p w:rsidR="00273BB1" w:rsidRDefault="00273BB1" w:rsidP="00273BB1">
      <w:p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sz w:val="20"/>
          <w:szCs w:val="20"/>
        </w:rPr>
        <w:t xml:space="preserve">Die Sakramente der Initiation </w:t>
      </w:r>
      <w:r w:rsidRPr="00273BB1">
        <w:rPr>
          <w:rFonts w:ascii="Tahoma" w:hAnsi="Tahoma" w:cs="Tahoma"/>
          <w:b/>
          <w:sz w:val="20"/>
          <w:szCs w:val="20"/>
        </w:rPr>
        <w:t>Taufe, Fi</w:t>
      </w:r>
      <w:r w:rsidRPr="00273BB1">
        <w:rPr>
          <w:rFonts w:ascii="Tahoma" w:hAnsi="Tahoma" w:cs="Tahoma"/>
          <w:b/>
          <w:sz w:val="20"/>
          <w:szCs w:val="20"/>
        </w:rPr>
        <w:t>r</w:t>
      </w:r>
      <w:r w:rsidRPr="00273BB1">
        <w:rPr>
          <w:rFonts w:ascii="Tahoma" w:hAnsi="Tahoma" w:cs="Tahoma"/>
          <w:b/>
          <w:sz w:val="20"/>
          <w:szCs w:val="20"/>
        </w:rPr>
        <w:t>mung, Eucharistie</w:t>
      </w:r>
      <w:r w:rsidRPr="00273BB1">
        <w:rPr>
          <w:rFonts w:ascii="Tahoma" w:hAnsi="Tahoma" w:cs="Tahoma"/>
          <w:sz w:val="20"/>
          <w:szCs w:val="20"/>
        </w:rPr>
        <w:t xml:space="preserve"> legen die Grundlage für die gemeinsame</w:t>
      </w:r>
      <w:bookmarkStart w:id="0" w:name="_GoBack"/>
      <w:bookmarkEnd w:id="0"/>
      <w:r w:rsidRPr="00273BB1">
        <w:rPr>
          <w:rFonts w:ascii="Tahoma" w:hAnsi="Tahoma" w:cs="Tahoma"/>
          <w:sz w:val="20"/>
          <w:szCs w:val="20"/>
        </w:rPr>
        <w:t xml:space="preserve"> Berufung der Christen: Heili</w:t>
      </w:r>
      <w:r w:rsidRPr="00273BB1">
        <w:rPr>
          <w:rFonts w:ascii="Tahoma" w:hAnsi="Tahoma" w:cs="Tahoma"/>
          <w:sz w:val="20"/>
          <w:szCs w:val="20"/>
        </w:rPr>
        <w:t>g</w:t>
      </w:r>
      <w:r w:rsidRPr="00273BB1">
        <w:rPr>
          <w:rFonts w:ascii="Tahoma" w:hAnsi="Tahoma" w:cs="Tahoma"/>
          <w:sz w:val="20"/>
          <w:szCs w:val="20"/>
        </w:rPr>
        <w:t>keit und Verkündigung des Evangeliums in der Welt („gemeinsames Priestertum“). Diese S</w:t>
      </w:r>
      <w:r w:rsidRPr="00273BB1">
        <w:rPr>
          <w:rFonts w:ascii="Tahoma" w:hAnsi="Tahoma" w:cs="Tahoma"/>
          <w:sz w:val="20"/>
          <w:szCs w:val="20"/>
        </w:rPr>
        <w:t>a</w:t>
      </w:r>
      <w:r w:rsidRPr="00273BB1">
        <w:rPr>
          <w:rFonts w:ascii="Tahoma" w:hAnsi="Tahoma" w:cs="Tahoma"/>
          <w:sz w:val="20"/>
          <w:szCs w:val="20"/>
        </w:rPr>
        <w:t>kramente rüsten die Christen für den eigenen Pilgerweg zur ewigen Heimat.</w:t>
      </w:r>
    </w:p>
    <w:p w:rsidR="00135299" w:rsidRDefault="00135299" w:rsidP="00273BB1">
      <w:pPr>
        <w:jc w:val="both"/>
        <w:rPr>
          <w:rFonts w:ascii="Tahoma" w:hAnsi="Tahoma" w:cs="Tahoma"/>
          <w:sz w:val="20"/>
          <w:szCs w:val="20"/>
        </w:rPr>
      </w:pPr>
    </w:p>
    <w:p w:rsidR="00273BB1" w:rsidRPr="00273BB1" w:rsidRDefault="00273BB1" w:rsidP="00273BB1">
      <w:pPr>
        <w:jc w:val="both"/>
        <w:rPr>
          <w:rFonts w:ascii="Tahoma" w:hAnsi="Tahoma" w:cs="Tahoma"/>
          <w:sz w:val="20"/>
          <w:szCs w:val="20"/>
        </w:rPr>
      </w:pPr>
      <w:r w:rsidRPr="00273BB1">
        <w:rPr>
          <w:rFonts w:ascii="Tahoma" w:hAnsi="Tahoma" w:cs="Tahoma"/>
          <w:b/>
          <w:sz w:val="20"/>
          <w:szCs w:val="20"/>
        </w:rPr>
        <w:t xml:space="preserve">Weihe </w:t>
      </w:r>
      <w:r w:rsidRPr="00273BB1">
        <w:rPr>
          <w:rFonts w:ascii="Tahoma" w:hAnsi="Tahoma" w:cs="Tahoma"/>
          <w:sz w:val="20"/>
          <w:szCs w:val="20"/>
        </w:rPr>
        <w:t>und</w:t>
      </w:r>
      <w:r w:rsidRPr="00273BB1">
        <w:rPr>
          <w:rFonts w:ascii="Tahoma" w:hAnsi="Tahoma" w:cs="Tahoma"/>
          <w:b/>
          <w:sz w:val="20"/>
          <w:szCs w:val="20"/>
        </w:rPr>
        <w:t xml:space="preserve"> Ehe</w:t>
      </w:r>
      <w:r w:rsidRPr="00273BB1">
        <w:rPr>
          <w:rFonts w:ascii="Tahoma" w:hAnsi="Tahoma" w:cs="Tahoma"/>
          <w:sz w:val="20"/>
          <w:szCs w:val="20"/>
        </w:rPr>
        <w:t xml:space="preserve"> dienen dem Heil der anderen und bauen das Volk Gottes auf. Sie können als „besondere Weihen“ für alle Gläubigen b</w:t>
      </w:r>
      <w:r w:rsidRPr="00273BB1">
        <w:rPr>
          <w:rFonts w:ascii="Tahoma" w:hAnsi="Tahoma" w:cs="Tahoma"/>
          <w:sz w:val="20"/>
          <w:szCs w:val="20"/>
        </w:rPr>
        <w:t>e</w:t>
      </w:r>
      <w:r w:rsidRPr="00273BB1">
        <w:rPr>
          <w:rFonts w:ascii="Tahoma" w:hAnsi="Tahoma" w:cs="Tahoma"/>
          <w:sz w:val="20"/>
          <w:szCs w:val="20"/>
        </w:rPr>
        <w:t>zeichnet werden, die durch Taufe (Wiederg</w:t>
      </w:r>
      <w:r w:rsidRPr="00273BB1">
        <w:rPr>
          <w:rFonts w:ascii="Tahoma" w:hAnsi="Tahoma" w:cs="Tahoma"/>
          <w:sz w:val="20"/>
          <w:szCs w:val="20"/>
        </w:rPr>
        <w:t>e</w:t>
      </w:r>
      <w:r w:rsidRPr="00273BB1">
        <w:rPr>
          <w:rFonts w:ascii="Tahoma" w:hAnsi="Tahoma" w:cs="Tahoma"/>
          <w:sz w:val="20"/>
          <w:szCs w:val="20"/>
        </w:rPr>
        <w:t>burt) und Firmung (Salbung mit dem Hl. Geist) schon zum gemeinsamen Priestertum geweiht sind.</w:t>
      </w:r>
    </w:p>
    <w:p w:rsidR="00273BB1" w:rsidRDefault="00273BB1" w:rsidP="00273BB1">
      <w:pPr>
        <w:jc w:val="both"/>
        <w:rPr>
          <w:rFonts w:ascii="Tahoma" w:hAnsi="Tahoma" w:cs="Tahoma"/>
          <w:sz w:val="20"/>
          <w:szCs w:val="20"/>
        </w:rPr>
      </w:pPr>
    </w:p>
    <w:p w:rsidR="00135299" w:rsidRDefault="00135299" w:rsidP="00273BB1">
      <w:pPr>
        <w:jc w:val="both"/>
        <w:rPr>
          <w:rFonts w:ascii="Tahoma" w:hAnsi="Tahoma" w:cs="Tahoma"/>
          <w:sz w:val="20"/>
          <w:szCs w:val="20"/>
        </w:rPr>
      </w:pPr>
      <w:r w:rsidRPr="00135299">
        <w:rPr>
          <w:rFonts w:ascii="Tahoma" w:hAnsi="Tahoma" w:cs="Tahoma"/>
          <w:b/>
          <w:sz w:val="20"/>
          <w:szCs w:val="20"/>
        </w:rPr>
        <w:t>Krankensalbung</w:t>
      </w:r>
      <w:r>
        <w:rPr>
          <w:rFonts w:ascii="Tahoma" w:hAnsi="Tahoma" w:cs="Tahoma"/>
          <w:sz w:val="20"/>
          <w:szCs w:val="20"/>
        </w:rPr>
        <w:t xml:space="preserve">, </w:t>
      </w:r>
      <w:r w:rsidRPr="00135299">
        <w:rPr>
          <w:rFonts w:ascii="Tahoma" w:hAnsi="Tahoma" w:cs="Tahoma"/>
          <w:b/>
          <w:sz w:val="20"/>
          <w:szCs w:val="20"/>
        </w:rPr>
        <w:t>Beichte</w:t>
      </w:r>
      <w:r>
        <w:rPr>
          <w:rFonts w:ascii="Tahoma" w:hAnsi="Tahoma" w:cs="Tahoma"/>
          <w:sz w:val="20"/>
          <w:szCs w:val="20"/>
        </w:rPr>
        <w:t xml:space="preserve"> und </w:t>
      </w:r>
      <w:r w:rsidRPr="00135299">
        <w:rPr>
          <w:rFonts w:ascii="Tahoma" w:hAnsi="Tahoma" w:cs="Tahoma"/>
          <w:b/>
          <w:sz w:val="20"/>
          <w:szCs w:val="20"/>
        </w:rPr>
        <w:t>Eucharistie</w:t>
      </w:r>
      <w:r>
        <w:rPr>
          <w:rFonts w:ascii="Tahoma" w:hAnsi="Tahoma" w:cs="Tahoma"/>
          <w:sz w:val="20"/>
          <w:szCs w:val="20"/>
        </w:rPr>
        <w:t xml:space="preserve"> stärken die Gläubigen auf ihrem irdischen Pi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gerweg. Sie im Laufe des Lebens werden mehrmals bzw. regelmäßig empfangen</w:t>
      </w:r>
    </w:p>
    <w:p w:rsidR="00273BB1" w:rsidRPr="00273BB1" w:rsidRDefault="00273BB1" w:rsidP="00273BB1">
      <w:pPr>
        <w:jc w:val="both"/>
        <w:rPr>
          <w:rFonts w:ascii="Tahoma" w:hAnsi="Tahoma" w:cs="Tahoma"/>
          <w:sz w:val="20"/>
          <w:szCs w:val="20"/>
        </w:rPr>
      </w:pPr>
    </w:p>
    <w:sectPr w:rsidR="00273BB1" w:rsidRPr="00273BB1" w:rsidSect="00250E4B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D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D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pStyle w:val="bersetzung1Bach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SEM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93204F3"/>
    <w:multiLevelType w:val="hybridMultilevel"/>
    <w:tmpl w:val="3620D5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24E07"/>
    <w:multiLevelType w:val="hybridMultilevel"/>
    <w:tmpl w:val="685883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B5F2E"/>
    <w:multiLevelType w:val="hybridMultilevel"/>
    <w:tmpl w:val="6E4CCB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B1"/>
    <w:rsid w:val="000052D2"/>
    <w:rsid w:val="00071835"/>
    <w:rsid w:val="000B1F5D"/>
    <w:rsid w:val="000D1CB2"/>
    <w:rsid w:val="000F6EF7"/>
    <w:rsid w:val="00116281"/>
    <w:rsid w:val="00135299"/>
    <w:rsid w:val="00193901"/>
    <w:rsid w:val="001B5252"/>
    <w:rsid w:val="001C7D26"/>
    <w:rsid w:val="001E1874"/>
    <w:rsid w:val="00250E4B"/>
    <w:rsid w:val="00263996"/>
    <w:rsid w:val="00273BB1"/>
    <w:rsid w:val="00274ABC"/>
    <w:rsid w:val="00283BE1"/>
    <w:rsid w:val="003311B9"/>
    <w:rsid w:val="003477D4"/>
    <w:rsid w:val="003636B3"/>
    <w:rsid w:val="003F74AC"/>
    <w:rsid w:val="00413D99"/>
    <w:rsid w:val="00414ED1"/>
    <w:rsid w:val="00434DD1"/>
    <w:rsid w:val="00435769"/>
    <w:rsid w:val="004845FB"/>
    <w:rsid w:val="004C7CEF"/>
    <w:rsid w:val="004D0C1F"/>
    <w:rsid w:val="004E1A77"/>
    <w:rsid w:val="004F5597"/>
    <w:rsid w:val="00526B45"/>
    <w:rsid w:val="00572AB5"/>
    <w:rsid w:val="005B6818"/>
    <w:rsid w:val="005E78E9"/>
    <w:rsid w:val="00616EA3"/>
    <w:rsid w:val="00647D6B"/>
    <w:rsid w:val="0066034A"/>
    <w:rsid w:val="00662D9E"/>
    <w:rsid w:val="00674D66"/>
    <w:rsid w:val="00682C55"/>
    <w:rsid w:val="006A56DB"/>
    <w:rsid w:val="006D37FE"/>
    <w:rsid w:val="006D7647"/>
    <w:rsid w:val="00702092"/>
    <w:rsid w:val="0072260E"/>
    <w:rsid w:val="00726DED"/>
    <w:rsid w:val="00746BB3"/>
    <w:rsid w:val="00772A2F"/>
    <w:rsid w:val="007F5212"/>
    <w:rsid w:val="008309DB"/>
    <w:rsid w:val="008333CD"/>
    <w:rsid w:val="008D1FA0"/>
    <w:rsid w:val="008E5EBB"/>
    <w:rsid w:val="009075FA"/>
    <w:rsid w:val="009974EB"/>
    <w:rsid w:val="00A40268"/>
    <w:rsid w:val="00A42E75"/>
    <w:rsid w:val="00A46223"/>
    <w:rsid w:val="00A76077"/>
    <w:rsid w:val="00AA12BE"/>
    <w:rsid w:val="00AB4254"/>
    <w:rsid w:val="00AD0480"/>
    <w:rsid w:val="00AD2238"/>
    <w:rsid w:val="00B077A7"/>
    <w:rsid w:val="00B12349"/>
    <w:rsid w:val="00B13BBA"/>
    <w:rsid w:val="00B21776"/>
    <w:rsid w:val="00B57AD9"/>
    <w:rsid w:val="00B6735D"/>
    <w:rsid w:val="00BC17B0"/>
    <w:rsid w:val="00C60487"/>
    <w:rsid w:val="00C849EB"/>
    <w:rsid w:val="00D13C96"/>
    <w:rsid w:val="00D3346F"/>
    <w:rsid w:val="00D8060B"/>
    <w:rsid w:val="00D84D83"/>
    <w:rsid w:val="00D854FB"/>
    <w:rsid w:val="00DD0819"/>
    <w:rsid w:val="00DD6E62"/>
    <w:rsid w:val="00E03299"/>
    <w:rsid w:val="00E43017"/>
    <w:rsid w:val="00EC135C"/>
    <w:rsid w:val="00ED21C3"/>
    <w:rsid w:val="00EF7333"/>
    <w:rsid w:val="00F23CD3"/>
    <w:rsid w:val="00F7345A"/>
    <w:rsid w:val="00F87896"/>
    <w:rsid w:val="00F87F82"/>
    <w:rsid w:val="00FA4186"/>
    <w:rsid w:val="00FA64CF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27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27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VERWALTUNG\Vorlagen\Religionsstu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Religionsstunde.dotx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</vt:lpstr>
    </vt:vector>
  </TitlesOfParts>
  <Company>Schottengymnasium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</dc:title>
  <dc:creator>P.Sebastian</dc:creator>
  <cp:lastModifiedBy> </cp:lastModifiedBy>
  <cp:revision>2</cp:revision>
  <cp:lastPrinted>2016-12-11T21:22:00Z</cp:lastPrinted>
  <dcterms:created xsi:type="dcterms:W3CDTF">2017-05-19T11:22:00Z</dcterms:created>
  <dcterms:modified xsi:type="dcterms:W3CDTF">2018-06-05T21:56:00Z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